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58B74">
      <w:pPr>
        <w:numPr>
          <w:ilvl w:val="0"/>
          <w:numId w:val="1"/>
        </w:numPr>
        <w:rPr>
          <w:rFonts w:hint="eastAsia"/>
          <w:lang w:val="en-US" w:eastAsia="zh-CN"/>
        </w:rPr>
      </w:pPr>
      <w:r>
        <w:rPr>
          <w:rFonts w:hint="eastAsia"/>
          <w:highlight w:val="none"/>
          <w:lang w:val="en-US" w:eastAsia="zh-CN"/>
        </w:rPr>
        <w:t>产品支持虚拟化部署</w:t>
      </w:r>
      <w:r>
        <w:rPr>
          <w:rFonts w:hint="eastAsia"/>
          <w:highlight w:val="none"/>
          <w:lang w:val="en-US" w:eastAsia="zh-CN"/>
        </w:rPr>
        <w:t>，</w:t>
      </w:r>
      <w:r>
        <w:rPr>
          <w:rFonts w:hint="eastAsia"/>
          <w:highlight w:val="none"/>
          <w:lang w:val="en-US" w:eastAsia="zh-CN"/>
        </w:rPr>
        <w:t>零信任控制中心和零信任安全网关组件可以合一部署在同一台虚拟机上，</w:t>
      </w:r>
      <w:r>
        <w:rPr>
          <w:rFonts w:hint="eastAsia"/>
          <w:lang w:val="en-US" w:eastAsia="zh-CN"/>
        </w:rPr>
        <w:t>同时支持分离部署、集群部署、高可用部署等；</w:t>
      </w:r>
    </w:p>
    <w:p w14:paraId="56DCE8C7">
      <w:pPr>
        <w:numPr>
          <w:ilvl w:val="0"/>
          <w:numId w:val="1"/>
        </w:numPr>
        <w:rPr>
          <w:rFonts w:hint="default"/>
          <w:color w:val="auto"/>
          <w:lang w:val="en-US" w:eastAsia="zh-CN"/>
        </w:rPr>
      </w:pPr>
      <w:r>
        <w:rPr>
          <w:rFonts w:hint="default"/>
          <w:lang w:val="en-US" w:eastAsia="zh-CN"/>
        </w:rPr>
        <w:t>★本次配置不少于100个零信任并发用户永久授权，不少于50个零信任安全空间授权。平台应具备可扩展能力，理论最大并发用户数不低于20000。理论加密吞吐量不低于1Gbps，理论HTTPS并发连接数不低于190000，理论HTTPS每秒新建连接数不低</w:t>
      </w:r>
      <w:r>
        <w:rPr>
          <w:rFonts w:hint="default"/>
          <w:color w:val="auto"/>
          <w:lang w:val="en-US" w:eastAsia="zh-CN"/>
        </w:rPr>
        <w:t>于2000。业务访问应同时支持免安装客户端的Web浏览器接入和零信任客户端接入；</w:t>
      </w:r>
    </w:p>
    <w:p w14:paraId="7EED49AD">
      <w:pPr>
        <w:numPr>
          <w:ilvl w:val="0"/>
          <w:numId w:val="1"/>
        </w:numPr>
        <w:rPr>
          <w:rFonts w:hint="default"/>
          <w:color w:val="auto"/>
          <w:lang w:val="en-US" w:eastAsia="zh-CN"/>
        </w:rPr>
      </w:pPr>
      <w:r>
        <w:rPr>
          <w:rFonts w:hint="default"/>
          <w:color w:val="auto"/>
          <w:lang w:val="en-US" w:eastAsia="zh-CN"/>
        </w:rPr>
        <w:t>产品应具备国家密码管理局商用密码检测认证中心出具的商用密码产品认证证书。证书所载产品类别可为SSL VPN安全网关、安全认证网关、访问控制安全网关或同类零信任安全网关，符合GM/T0025《SSL VPN网关产品规范》或同类密码产品规范要求，密码模块符合GM/T0028《密码模块安全技术要求》第二级及以上要求；</w:t>
      </w:r>
    </w:p>
    <w:p w14:paraId="65249121">
      <w:pPr>
        <w:numPr>
          <w:ilvl w:val="0"/>
          <w:numId w:val="1"/>
        </w:numPr>
        <w:rPr>
          <w:rFonts w:hint="default"/>
          <w:lang w:val="en-US" w:eastAsia="zh-CN"/>
        </w:rPr>
      </w:pPr>
      <w:r>
        <w:rPr>
          <w:rFonts w:hint="default"/>
          <w:lang w:val="en-US" w:eastAsia="zh-CN"/>
        </w:rPr>
        <w:t>零信任客户端需支持windows、MacOS、安卓、iOS、Linux（Ubuntu）等系统；兼容主流国产硬件CPU的国产操作系统终端；</w:t>
      </w:r>
    </w:p>
    <w:p w14:paraId="63E4DF89">
      <w:pPr>
        <w:numPr>
          <w:ilvl w:val="0"/>
          <w:numId w:val="1"/>
        </w:numPr>
        <w:rPr>
          <w:rFonts w:hint="default"/>
          <w:lang w:val="en-US" w:eastAsia="zh-CN"/>
        </w:rPr>
      </w:pPr>
      <w:r>
        <w:rPr>
          <w:rFonts w:hint="default"/>
          <w:lang w:val="en-US" w:eastAsia="zh-CN"/>
        </w:rPr>
        <w:t>▲具备对请求访问受保护网络资源用户的用户名、接入方式、接入网络位置、接入时间、接入时使用设备信息等进行身份标记功能（需提供带有CMA或CNAS标识的检测报告）；</w:t>
      </w:r>
    </w:p>
    <w:p w14:paraId="2C044029">
      <w:pPr>
        <w:numPr>
          <w:ilvl w:val="0"/>
          <w:numId w:val="1"/>
        </w:numPr>
        <w:rPr>
          <w:rFonts w:hint="default"/>
          <w:lang w:val="en-US" w:eastAsia="zh-CN"/>
        </w:rPr>
      </w:pPr>
      <w:r>
        <w:rPr>
          <w:rFonts w:hint="default"/>
          <w:lang w:val="en-US" w:eastAsia="zh-CN"/>
        </w:rPr>
        <w:t>支持微信、企业微信、钉钉、飞书扫码登录方式及其他三方扫码登录，支持SIM卡认证、Ukey数字证书认证、人脸认证方式；支持CAS、OAuth2.0、SAML、OIDC协议单点登录，并支持应用SSO代填实现业务单点登录访问；支持多种认证方式编排形成认证链；</w:t>
      </w:r>
    </w:p>
    <w:p w14:paraId="049C660E">
      <w:pPr>
        <w:numPr>
          <w:ilvl w:val="0"/>
          <w:numId w:val="1"/>
        </w:numPr>
        <w:rPr>
          <w:rFonts w:hint="default"/>
          <w:lang w:val="en-US" w:eastAsia="zh-CN"/>
        </w:rPr>
      </w:pPr>
      <w:r>
        <w:rPr>
          <w:rFonts w:hint="default"/>
          <w:lang w:val="en-US" w:eastAsia="zh-CN"/>
        </w:rPr>
        <w:t>▲支持终端运维管理功能，浏览器免装控件访问，或仅使用标准协议客户端访问；支持对以上运维操作提供全程录屏录像功能。（响应文件中提供功能截图）；</w:t>
      </w:r>
    </w:p>
    <w:p w14:paraId="2EE39C91">
      <w:pPr>
        <w:numPr>
          <w:ilvl w:val="0"/>
          <w:numId w:val="1"/>
        </w:numPr>
        <w:rPr>
          <w:rFonts w:hint="default"/>
          <w:lang w:val="en-US" w:eastAsia="zh-CN"/>
        </w:rPr>
      </w:pPr>
      <w:r>
        <w:rPr>
          <w:rFonts w:hint="default"/>
          <w:lang w:val="en-US" w:eastAsia="zh-CN"/>
        </w:rPr>
        <w:t>新设备入网注册提供三种方式，包括二次认证、授权码认证、流程申请，认证方式支持针对用户组或单个用户执行；</w:t>
      </w:r>
    </w:p>
    <w:p w14:paraId="0674A691">
      <w:pPr>
        <w:numPr>
          <w:ilvl w:val="0"/>
          <w:numId w:val="1"/>
        </w:numPr>
        <w:rPr>
          <w:rFonts w:hint="default"/>
          <w:lang w:val="en-US" w:eastAsia="zh-CN"/>
        </w:rPr>
      </w:pPr>
      <w:r>
        <w:rPr>
          <w:rFonts w:hint="default"/>
          <w:lang w:val="en-US" w:eastAsia="zh-CN"/>
        </w:rPr>
        <w:t>支持终端安全画像，包括设备信息、软件清单、服务列表、安全事件及访问记录；</w:t>
      </w:r>
    </w:p>
    <w:p w14:paraId="5EF69480">
      <w:pPr>
        <w:numPr>
          <w:ilvl w:val="0"/>
          <w:numId w:val="1"/>
        </w:numPr>
        <w:rPr>
          <w:rFonts w:hint="default"/>
          <w:lang w:val="en-US" w:eastAsia="zh-CN"/>
        </w:rPr>
      </w:pPr>
      <w:r>
        <w:rPr>
          <w:rFonts w:hint="default"/>
          <w:lang w:val="en-US" w:eastAsia="zh-CN"/>
        </w:rPr>
        <w:t>终端策略支持外设管控、水印保护、卸载管控、信息采集、外联管控、热点管控、移动端数据保护，支持在一个界面内配置上述全部终端策略；</w:t>
      </w:r>
    </w:p>
    <w:p w14:paraId="5691DEEA">
      <w:pPr>
        <w:numPr>
          <w:ilvl w:val="0"/>
          <w:numId w:val="1"/>
        </w:numPr>
        <w:rPr>
          <w:rFonts w:hint="default"/>
          <w:lang w:val="en-US" w:eastAsia="zh-CN"/>
        </w:rPr>
      </w:pPr>
      <w:r>
        <w:rPr>
          <w:rFonts w:hint="default"/>
          <w:lang w:val="en-US" w:eastAsia="zh-CN"/>
        </w:rPr>
        <w:t>★支持对Windows、macOS、统信、麒麟等桌面端软件资产进行收集和展示，支持对软件资产进行分类并预置软件分类；支持展示和导出特定终端上安装的软件资产信息；支持展示和导出特定软件资产终端安装信息（响应文件中提供功能截图）；</w:t>
      </w:r>
    </w:p>
    <w:p w14:paraId="2D0DD39E">
      <w:pPr>
        <w:numPr>
          <w:ilvl w:val="0"/>
          <w:numId w:val="1"/>
        </w:numPr>
        <w:rPr>
          <w:rFonts w:hint="default"/>
          <w:lang w:val="en-US" w:eastAsia="zh-CN"/>
        </w:rPr>
      </w:pPr>
      <w:r>
        <w:rPr>
          <w:rFonts w:hint="default"/>
          <w:lang w:val="en-US" w:eastAsia="zh-CN"/>
        </w:rPr>
        <w:t>支持管理员远程定向收集某台终端设备的运行日志，管理员可在管理后台直接获取用户终端零信任运行日志</w:t>
      </w:r>
      <w:r>
        <w:rPr>
          <w:rFonts w:hint="default"/>
          <w:highlight w:val="none"/>
          <w:lang w:val="en-US" w:eastAsia="zh-CN"/>
        </w:rPr>
        <w:t>；</w:t>
      </w:r>
    </w:p>
    <w:p w14:paraId="5ECBE5EF">
      <w:pPr>
        <w:numPr>
          <w:ilvl w:val="0"/>
          <w:numId w:val="1"/>
        </w:numPr>
        <w:rPr>
          <w:rFonts w:hint="default"/>
          <w:lang w:val="en-US" w:eastAsia="zh-CN"/>
        </w:rPr>
      </w:pPr>
      <w:r>
        <w:rPr>
          <w:rFonts w:hint="default"/>
          <w:lang w:val="en-US" w:eastAsia="zh-CN"/>
        </w:rPr>
        <w:t>▲支持配置空间数据保护策略，支持配置空间截屏防护功能，策略开启后，截屏、录屏软件、远程桌面软件截取不到屏幕真实内容（响应文件中提供功能截图）；</w:t>
      </w:r>
    </w:p>
    <w:p w14:paraId="09125C39">
      <w:pPr>
        <w:numPr>
          <w:ilvl w:val="0"/>
          <w:numId w:val="1"/>
        </w:numPr>
        <w:rPr>
          <w:rFonts w:hint="default"/>
          <w:lang w:val="en-US" w:eastAsia="zh-CN"/>
        </w:rPr>
      </w:pPr>
      <w:r>
        <w:rPr>
          <w:rFonts w:hint="default"/>
          <w:lang w:val="en-US" w:eastAsia="zh-CN"/>
        </w:rPr>
        <w:t>▲支持配置空间文件导入、文件导出策略，支持禁止、审批、允许并审计等多种灵活的文件导入导出策略配置，支持配置空间内文件分享，策略开启后可直接分享沙箱内文件给具有相同沙箱权限的其他员工（响应文件中提供功能截图）；</w:t>
      </w:r>
    </w:p>
    <w:p w14:paraId="0C1C8E00">
      <w:pPr>
        <w:numPr>
          <w:ilvl w:val="0"/>
          <w:numId w:val="1"/>
        </w:numPr>
        <w:rPr>
          <w:rFonts w:hint="default"/>
          <w:lang w:val="en-US" w:eastAsia="zh-CN"/>
        </w:rPr>
      </w:pPr>
      <w:r>
        <w:rPr>
          <w:rFonts w:hint="default"/>
          <w:lang w:val="en-US" w:eastAsia="zh-CN"/>
        </w:rPr>
        <w:t>▲支持空间无痕模式访问，用户退出登录（包含退出客户端、策略强制退出用户登录等）后自动清除空间内的数据，恢复到空间的初始状态（响应文件中提供功能截图）；</w:t>
      </w:r>
    </w:p>
    <w:p w14:paraId="3DABD352">
      <w:pPr>
        <w:numPr>
          <w:ilvl w:val="0"/>
          <w:numId w:val="1"/>
        </w:numPr>
        <w:rPr>
          <w:rFonts w:hint="default"/>
          <w:lang w:val="en-US" w:eastAsia="zh-CN"/>
        </w:rPr>
      </w:pPr>
      <w:r>
        <w:rPr>
          <w:rFonts w:hint="default"/>
          <w:lang w:val="en-US" w:eastAsia="zh-CN"/>
        </w:rPr>
        <w:t>支持SPA，实现网关隐藏，确保每个单独的流量都得到授权，将服务器隐身，抵御外界扫描、嗅探等攻击；SPA支持配置老化时间、监听端口、共享密钥、映射端口等信息，同时为了保障管理员可以在开启SPA后登录，支持配置SPA白名单；</w:t>
      </w:r>
    </w:p>
    <w:p w14:paraId="53418EBE">
      <w:pPr>
        <w:numPr>
          <w:ilvl w:val="0"/>
          <w:numId w:val="1"/>
        </w:numPr>
        <w:rPr>
          <w:rFonts w:hint="default"/>
          <w:lang w:val="en-US" w:eastAsia="zh-CN"/>
        </w:rPr>
      </w:pPr>
      <w:r>
        <w:rPr>
          <w:rFonts w:hint="default"/>
          <w:lang w:val="en-US" w:eastAsia="zh-CN"/>
        </w:rPr>
        <w:t>支持发布隧道应用、web应用、隐形代理、运维应用等。发布的应用支持基础配置、高级配置、应用账号配置和权限管理。基础配置可以配置唯一标识、名称、图标、应用分组、应用类型、支持的操作系统、关联认证配置和应用协议；</w:t>
      </w:r>
    </w:p>
    <w:p w14:paraId="319F51AA">
      <w:pPr>
        <w:numPr>
          <w:ilvl w:val="0"/>
          <w:numId w:val="1"/>
        </w:numPr>
        <w:rPr>
          <w:rFonts w:hint="default"/>
          <w:lang w:val="en-US" w:eastAsia="zh-CN"/>
        </w:rPr>
      </w:pPr>
      <w:r>
        <w:rPr>
          <w:rFonts w:hint="default"/>
          <w:lang w:val="en-US" w:eastAsia="zh-CN"/>
        </w:rPr>
        <w:t>支持基于场景的安全策略编排，并以场景化进行保存，快速调用，如登录认证场景（内外网登录策略、威胁IP二次认证策略、账号撞库策略）、web应用访问场景、隧道管控场景（已知应用统计、未知应用标记、访问僵尸应用初始策略、数据采样）等；支持基于多场景安全策略评估结果联动控制，如在web应用访问场景中触发的安全策略评估结果，可以自动提供给用户登录场景进行调用；</w:t>
      </w:r>
    </w:p>
    <w:p w14:paraId="33B30FD4">
      <w:pPr>
        <w:numPr>
          <w:ilvl w:val="0"/>
          <w:numId w:val="1"/>
        </w:numPr>
        <w:rPr>
          <w:rFonts w:hint="default"/>
          <w:lang w:val="en-US" w:eastAsia="zh-CN"/>
        </w:rPr>
      </w:pPr>
      <w:r>
        <w:rPr>
          <w:rFonts w:hint="default"/>
          <w:lang w:val="en-US" w:eastAsia="zh-CN"/>
        </w:rPr>
        <w:t>★支持针对windows、信创终端及基于设备标签开启终端外设管控管控策略，包括禁用USB存储设备和打印机，同时支持设置白名单；支持网络管控，包括违规外联管控和禁用WIFI连接两个功能，支持自定义提示语，支持配置可连接的WIFI白名单，处置动作包括告警、告警并断开网络（响应文件中提供功能截图）；</w:t>
      </w:r>
    </w:p>
    <w:p w14:paraId="04E904CD">
      <w:pPr>
        <w:numPr>
          <w:ilvl w:val="0"/>
          <w:numId w:val="1"/>
        </w:numPr>
        <w:rPr>
          <w:rFonts w:hint="default"/>
          <w:lang w:val="en-US" w:eastAsia="zh-CN"/>
        </w:rPr>
      </w:pPr>
      <w:r>
        <w:rPr>
          <w:rFonts w:hint="default"/>
          <w:lang w:val="en-US" w:eastAsia="zh-CN"/>
        </w:rPr>
        <w:t>▲为保证整体安全防护能力，需要支持标识和鉴别能力，包括基本标识、唯一性标识、身份鉴别、鉴别失败处理、鉴别信息保护。（需提供带有CMA或CNAS标识的检测报告）；</w:t>
      </w:r>
    </w:p>
    <w:p w14:paraId="484CFAC1">
      <w:pPr>
        <w:numPr>
          <w:ilvl w:val="0"/>
          <w:numId w:val="1"/>
        </w:numPr>
        <w:rPr>
          <w:rFonts w:hint="default"/>
          <w:lang w:val="en-US" w:eastAsia="zh-CN"/>
        </w:rPr>
      </w:pPr>
      <w:r>
        <w:rPr>
          <w:rFonts w:hint="default"/>
          <w:lang w:val="en-US" w:eastAsia="zh-CN"/>
        </w:rPr>
        <w:t>▲需要支持安全审计能力，包括安全审计数据产生、安全审计查阅、安全审计事件存储。（需提供带有CMA或CNAS标识的检测报告）；</w:t>
      </w:r>
    </w:p>
    <w:p w14:paraId="3A742918">
      <w:pPr>
        <w:numPr>
          <w:ilvl w:val="0"/>
          <w:numId w:val="1"/>
        </w:numPr>
        <w:rPr>
          <w:rFonts w:hint="default"/>
          <w:lang w:val="en-US" w:eastAsia="zh-CN"/>
        </w:rPr>
      </w:pPr>
      <w:r>
        <w:rPr>
          <w:rFonts w:hint="default"/>
          <w:lang w:val="en-US" w:eastAsia="zh-CN"/>
        </w:rPr>
        <w:t>★支持数据脱敏，对用户访问过程中，可对身份证、手机号、银行卡信息进行脱敏处理。（响应文件中提供功能截图）；</w:t>
      </w:r>
    </w:p>
    <w:p w14:paraId="6AA69EE7">
      <w:pPr>
        <w:numPr>
          <w:ilvl w:val="0"/>
          <w:numId w:val="1"/>
        </w:numPr>
        <w:rPr>
          <w:rFonts w:hint="default"/>
          <w:lang w:val="en-US" w:eastAsia="zh-CN"/>
        </w:rPr>
      </w:pPr>
      <w:r>
        <w:rPr>
          <w:rFonts w:hint="default"/>
          <w:lang w:val="en-US" w:eastAsia="zh-CN"/>
        </w:rPr>
        <w:t>支持提供监控大屏展示，包括：支持从用户、应用、设备、策略、异常告警行为日志中分析出不同维度的数据以数字、折线图、饼状图、柱状图、排名列表等进行展示，用户支持自定义选择展示模块，以便运维人员可以更直观的了解现系统的认证/访问行为全貌；支持自定义选择下载模块，用户点击下载后，进行预览自排版导出界面，支持HTML、PDF格式；</w:t>
      </w:r>
    </w:p>
    <w:p w14:paraId="18A738D1">
      <w:pPr>
        <w:numPr>
          <w:ilvl w:val="0"/>
          <w:numId w:val="1"/>
        </w:numPr>
        <w:rPr>
          <w:rFonts w:hint="default"/>
          <w:highlight w:val="none"/>
          <w:lang w:val="en-US" w:eastAsia="zh-CN"/>
        </w:rPr>
      </w:pPr>
      <w:r>
        <w:rPr>
          <w:rFonts w:hint="default"/>
          <w:lang w:val="en-US" w:eastAsia="zh-CN"/>
        </w:rPr>
        <w:t>★提供三年</w:t>
      </w:r>
      <w:r>
        <w:rPr>
          <w:rFonts w:hint="default"/>
          <w:highlight w:val="none"/>
          <w:lang w:val="en-US" w:eastAsia="zh-CN"/>
        </w:rPr>
        <w:t>质保服务；</w:t>
      </w:r>
    </w:p>
    <w:p w14:paraId="74BC0728">
      <w:pPr>
        <w:numPr>
          <w:ilvl w:val="0"/>
          <w:numId w:val="1"/>
        </w:numPr>
        <w:rPr>
          <w:rFonts w:hint="default"/>
          <w:lang w:val="en-US" w:eastAsia="zh-CN"/>
        </w:rPr>
      </w:pPr>
      <w:r>
        <w:rPr>
          <w:rFonts w:hint="default"/>
          <w:highlight w:val="none"/>
          <w:lang w:val="en-US" w:eastAsia="zh-CN"/>
        </w:rPr>
        <w:t>针对本系统中</w:t>
      </w:r>
      <w:r>
        <w:rPr>
          <w:rFonts w:hint="eastAsia"/>
          <w:highlight w:val="none"/>
          <w:lang w:val="en-US" w:eastAsia="zh-CN"/>
        </w:rPr>
        <w:t>可能</w:t>
      </w:r>
      <w:r>
        <w:rPr>
          <w:rFonts w:hint="default"/>
          <w:highlight w:val="none"/>
          <w:lang w:val="en-US" w:eastAsia="zh-CN"/>
        </w:rPr>
        <w:t>存在的bug、缺陷、信息安全漏洞，不论在保期内、外，投标产品供应商均应免费持续提供修正与</w:t>
      </w:r>
      <w:r>
        <w:rPr>
          <w:rFonts w:hint="default"/>
          <w:lang w:val="en-US" w:eastAsia="zh-CN"/>
        </w:rPr>
        <w:t>消缺服务；</w:t>
      </w:r>
    </w:p>
    <w:p w14:paraId="4C24FC4E">
      <w:pPr>
        <w:numPr>
          <w:ilvl w:val="0"/>
          <w:numId w:val="1"/>
        </w:numPr>
        <w:rPr>
          <w:rFonts w:hint="default"/>
          <w:lang w:val="en-US" w:eastAsia="zh-CN"/>
        </w:rPr>
      </w:pPr>
      <w:r>
        <w:rPr>
          <w:rFonts w:hint="default"/>
          <w:lang w:val="en-US" w:eastAsia="zh-CN"/>
        </w:rPr>
        <w:t>提供7*24小时的电话支持服务。对于系统在使用过程中出现的问题，在30分钟内远程解决；若远程维护不能解决，则在120分钟内技术人员到达现场解决。</w:t>
      </w:r>
    </w:p>
    <w:p w14:paraId="6FF79BFF">
      <w:pPr>
        <w:widowControl w:val="0"/>
        <w:numPr>
          <w:ilvl w:val="0"/>
          <w:numId w:val="0"/>
        </w:numPr>
        <w:jc w:val="both"/>
        <w:rPr>
          <w:rFonts w:hint="default"/>
          <w:lang w:val="en-US" w:eastAsia="zh-CN"/>
        </w:rPr>
      </w:pPr>
    </w:p>
    <w:p w14:paraId="24EB328B">
      <w:pPr>
        <w:widowControl w:val="0"/>
        <w:numPr>
          <w:ilvl w:val="0"/>
          <w:numId w:val="0"/>
        </w:numPr>
        <w:jc w:val="both"/>
        <w:rPr>
          <w:rFonts w:hint="default"/>
          <w:lang w:val="en-US" w:eastAsia="zh-CN"/>
        </w:rPr>
      </w:pPr>
    </w:p>
    <w:p w14:paraId="335353B1">
      <w:r>
        <w:rPr>
          <w:rFonts w:hint="default"/>
          <w:lang w:val="en-US" w:eastAsia="zh-CN"/>
        </w:rPr>
        <w:t>本采购需求中，★标记项为实质性要求，属于核心指标项；▲标记项为重要评审项，属于重要</w:t>
      </w:r>
      <w:r>
        <w:rPr>
          <w:rFonts w:hint="default"/>
          <w:highlight w:val="none"/>
          <w:lang w:val="en-US" w:eastAsia="zh-CN"/>
        </w:rPr>
        <w:t>指标项。投标人须对★标记项逐条完全响应，任意1条未完全响应或无法提供有效证明材料的，</w:t>
      </w:r>
      <w:r>
        <w:rPr>
          <w:rFonts w:hint="eastAsia"/>
          <w:highlight w:val="none"/>
          <w:lang w:val="en-US" w:eastAsia="zh-CN"/>
        </w:rPr>
        <w:t>不得推荐为中标候选人</w:t>
      </w:r>
      <w:r>
        <w:rPr>
          <w:rFonts w:hint="default"/>
          <w:highlight w:val="none"/>
          <w:lang w:val="en-US" w:eastAsia="zh-CN"/>
        </w:rPr>
        <w:t>。</w:t>
      </w:r>
      <w:r>
        <w:rPr>
          <w:rFonts w:hint="default"/>
          <w:lang w:val="en-US" w:eastAsia="zh-CN"/>
        </w:rPr>
        <w:t>▲标记项允许存在非实质性偏离，但经评审认定为不满足或负偏离的累计达到5条及以上的，不得推荐为中标候选人。为杜绝虚假应标，评审方有权对任意存疑参数提出现场或远程功能演示要求；投标人在规定时间内无法响应要求，或演示结果与招标参数及响应文件不符的，评审方可认定其相关参数未实质性响应，不得推荐为中标候选人。（投标人提供承诺函并加盖公章）</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931B67"/>
    <w:multiLevelType w:val="singleLevel"/>
    <w:tmpl w:val="E7931B6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965ECD"/>
    <w:rsid w:val="030B388D"/>
    <w:rsid w:val="03E12F0C"/>
    <w:rsid w:val="04F311AF"/>
    <w:rsid w:val="05436588"/>
    <w:rsid w:val="0E2D6995"/>
    <w:rsid w:val="2E0C4F1C"/>
    <w:rsid w:val="305F1B4D"/>
    <w:rsid w:val="327E6664"/>
    <w:rsid w:val="35965ECD"/>
    <w:rsid w:val="3F407652"/>
    <w:rsid w:val="4409502C"/>
    <w:rsid w:val="54F12EE7"/>
    <w:rsid w:val="5C121336"/>
    <w:rsid w:val="69913E1E"/>
    <w:rsid w:val="6E452F95"/>
    <w:rsid w:val="7F3553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2408</Words>
  <Characters>2571</Characters>
  <Lines>0</Lines>
  <Paragraphs>0</Paragraphs>
  <TotalTime>1</TotalTime>
  <ScaleCrop>false</ScaleCrop>
  <LinksUpToDate>false</LinksUpToDate>
  <CharactersWithSpaces>2573</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2026-10-08T02:21:00Z</dcterms:created>
  <dc:creator>刘小黑</dc:creator>
  <cp:lastModifiedBy>LOSER</cp:lastModifiedBy>
  <dcterms:modified xsi:type="dcterms:W3CDTF">2026-10-08T08:38:52Z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C75E971BCBD5451A83FB455450B37022_11</vt:lpwstr>
  </property>
  <property fmtid="{D5CDD505-2E9C-101B-9397-08002B2CF9AE}" pid="4" name="KSOTemplateDocerSaveRecord">
    <vt:lpwstr>eyJoZGlkIjoiMjI5MGVjZDEzN2U3YTI4YmE1OTRlOTcxMDRhY2IwYjkifQ==</vt:lpwstr>
  </property>
</Properties>
</file>