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C0710">
      <w:pPr>
        <w:rPr>
          <w:rFonts w:hint="eastAsia"/>
          <w:lang w:val="en-US" w:eastAsia="zh-CN"/>
        </w:rPr>
      </w:pPr>
      <w:r>
        <w:rPr>
          <w:rFonts w:hint="eastAsia"/>
          <w:lang w:val="en-US" w:eastAsia="zh-CN"/>
        </w:rPr>
        <w:t>上网行为管理系统采购需求：</w:t>
      </w:r>
    </w:p>
    <w:p w14:paraId="3DA5200D">
      <w:pPr>
        <w:rPr>
          <w:rFonts w:hint="default"/>
          <w:lang w:val="en-US" w:eastAsia="zh-CN"/>
        </w:rPr>
      </w:pPr>
    </w:p>
    <w:p w14:paraId="43F916DB">
      <w:pPr>
        <w:numPr>
          <w:ilvl w:val="0"/>
          <w:numId w:val="1"/>
        </w:numPr>
        <w:rPr>
          <w:rFonts w:hint="eastAsia"/>
        </w:rPr>
      </w:pPr>
      <w:r>
        <w:rPr>
          <w:rFonts w:hint="eastAsia"/>
          <w:lang w:val="en-US" w:eastAsia="zh-CN"/>
        </w:rPr>
        <w:t>硬件要求：标准机架式设备</w:t>
      </w:r>
      <w:r>
        <w:rPr>
          <w:rFonts w:hint="eastAsia"/>
        </w:rPr>
        <w:t>，提供≥10个千兆电口，≥4个光电复用接口，硬盘≥1T。</w:t>
      </w:r>
      <w:r>
        <w:rPr>
          <w:rFonts w:hint="eastAsia"/>
          <w:lang w:val="en-US" w:eastAsia="zh-CN"/>
        </w:rPr>
        <w:t>网络吞吐量≥5Gbps，应用层吞吐量≥2.5Gbps，</w:t>
      </w:r>
      <w:r>
        <w:rPr>
          <w:rFonts w:hint="eastAsia"/>
        </w:rPr>
        <w:t>支持扩展4G USB 插卡，可作为通讯网口，支持在4G接口上配置IPSec VPN。须提供第三方检测证明</w:t>
      </w:r>
      <w:r>
        <w:rPr>
          <w:rFonts w:hint="eastAsia"/>
          <w:lang w:eastAsia="zh-CN"/>
        </w:rPr>
        <w:t>。</w:t>
      </w:r>
    </w:p>
    <w:p w14:paraId="54A938A5">
      <w:pPr>
        <w:numPr>
          <w:ilvl w:val="0"/>
          <w:numId w:val="1"/>
        </w:numPr>
        <w:rPr>
          <w:rFonts w:hint="eastAsia"/>
        </w:rPr>
      </w:pPr>
      <w:r>
        <w:rPr>
          <w:rFonts w:hint="eastAsia"/>
        </w:rPr>
        <w:t>支持全局服务器负载均衡策略，支持针对服务器进行连通性探测，支持会话保持。须提供第三方检测证明。</w:t>
      </w:r>
    </w:p>
    <w:p w14:paraId="002A4A38">
      <w:pPr>
        <w:numPr>
          <w:ilvl w:val="0"/>
          <w:numId w:val="1"/>
        </w:numPr>
        <w:rPr>
          <w:rFonts w:hint="eastAsia"/>
        </w:rPr>
      </w:pPr>
      <w:r>
        <w:rPr>
          <w:rFonts w:hint="eastAsia"/>
        </w:rPr>
        <w:t>支持应用模型识别技术，可定义识别模式的宽松程度，有效和准确识别网络应用；检测引擎支持智能、快速和关闭识别模式</w:t>
      </w:r>
      <w:r>
        <w:rPr>
          <w:rFonts w:hint="eastAsia"/>
          <w:lang w:eastAsia="zh-CN"/>
        </w:rPr>
        <w:t>，</w:t>
      </w:r>
      <w:r>
        <w:rPr>
          <w:rFonts w:hint="eastAsia"/>
          <w:lang w:val="en-US" w:eastAsia="zh-CN"/>
        </w:rPr>
        <w:t>请提供功能截图。</w:t>
      </w:r>
    </w:p>
    <w:p w14:paraId="2F1FCE23">
      <w:pPr>
        <w:numPr>
          <w:ilvl w:val="0"/>
          <w:numId w:val="1"/>
        </w:numPr>
        <w:rPr>
          <w:rFonts w:hint="eastAsia"/>
        </w:rPr>
      </w:pPr>
      <w:r>
        <w:rPr>
          <w:rFonts w:hint="eastAsia"/>
        </w:rPr>
        <w:t>★支持针对IPv6扩展头（至少6种）、流标签、DSCP、VLAN等场景进行访问权限管控；支持通过控制策略下钻至对应会话，展示会话信息不少于27个维度，帮助管理员快速了解策略匹配现状，以及现网会话组成</w:t>
      </w:r>
      <w:r>
        <w:rPr>
          <w:rFonts w:hint="eastAsia"/>
          <w:lang w:eastAsia="zh-CN"/>
        </w:rPr>
        <w:t>，</w:t>
      </w:r>
      <w:r>
        <w:rPr>
          <w:rFonts w:hint="eastAsia"/>
          <w:lang w:val="en-US" w:eastAsia="zh-CN"/>
        </w:rPr>
        <w:t>提供功能截图。支持配置会话功能，可配置的老化时间≥2000小时。须提供第三方检测证明。</w:t>
      </w:r>
    </w:p>
    <w:p w14:paraId="3B2758A1">
      <w:pPr>
        <w:numPr>
          <w:ilvl w:val="0"/>
          <w:numId w:val="1"/>
        </w:numPr>
        <w:rPr>
          <w:rFonts w:hint="eastAsia"/>
        </w:rPr>
      </w:pPr>
      <w:r>
        <w:rPr>
          <w:rFonts w:hint="eastAsia"/>
        </w:rPr>
        <w:t>支持客户端解密和服务器解密两种方式，能够对https站点、邮箱做高性能解密，同时支持解密后流量编排，镜像到其他设备。须提供第三方检测证明。</w:t>
      </w:r>
    </w:p>
    <w:p w14:paraId="403DB216">
      <w:pPr>
        <w:numPr>
          <w:ilvl w:val="0"/>
          <w:numId w:val="1"/>
        </w:numPr>
        <w:rPr>
          <w:rFonts w:hint="eastAsia"/>
        </w:rPr>
      </w:pPr>
      <w:r>
        <w:rPr>
          <w:rFonts w:hint="eastAsia"/>
        </w:rPr>
        <w:t>支持IM软件（QQ、微信、钉钉、阿里旺旺、TIM、企业微信）内容审计，展示效果支持对话模式和日志模式</w:t>
      </w:r>
      <w:r>
        <w:rPr>
          <w:rFonts w:hint="eastAsia"/>
          <w:lang w:eastAsia="zh-CN"/>
        </w:rPr>
        <w:t>。</w:t>
      </w:r>
      <w:r>
        <w:rPr>
          <w:rFonts w:hint="eastAsia"/>
          <w:lang w:val="en-US" w:eastAsia="zh-CN"/>
        </w:rPr>
        <w:t>请提供功能截图。</w:t>
      </w:r>
    </w:p>
    <w:p w14:paraId="433A6038">
      <w:pPr>
        <w:numPr>
          <w:ilvl w:val="0"/>
          <w:numId w:val="1"/>
        </w:numPr>
        <w:rPr>
          <w:rFonts w:hint="eastAsia"/>
        </w:rPr>
      </w:pPr>
      <w:r>
        <w:rPr>
          <w:rFonts w:hint="eastAsia"/>
        </w:rPr>
        <w:t>★支持将管理员分级分权模块与流控模块相结合，一级通道支持指定管理员管理，不同管理员实现通道级别的权限分离，分级管理。须提供第三方检测证明。</w:t>
      </w:r>
    </w:p>
    <w:p w14:paraId="53B33032">
      <w:pPr>
        <w:numPr>
          <w:ilvl w:val="0"/>
          <w:numId w:val="1"/>
        </w:numPr>
        <w:rPr>
          <w:rFonts w:hint="eastAsia"/>
        </w:rPr>
      </w:pPr>
      <w:r>
        <w:rPr>
          <w:rFonts w:hint="eastAsia"/>
        </w:rPr>
        <w:t>★支持独立化的防翻墙界面配置；支持防翻墙日志本地记录和单独展示；支持展示代理服务器分布区域、地域排名、翻墙用户、翻墙用户组、应用排名</w:t>
      </w:r>
      <w:r>
        <w:rPr>
          <w:rFonts w:hint="eastAsia"/>
          <w:lang w:eastAsia="zh-CN"/>
        </w:rPr>
        <w:t>。</w:t>
      </w:r>
      <w:r>
        <w:rPr>
          <w:rFonts w:hint="eastAsia"/>
          <w:lang w:val="en-US" w:eastAsia="zh-CN"/>
        </w:rPr>
        <w:t>请提供功能截图。</w:t>
      </w:r>
    </w:p>
    <w:p w14:paraId="2C8EEAAE">
      <w:pPr>
        <w:numPr>
          <w:ilvl w:val="0"/>
          <w:numId w:val="1"/>
        </w:numPr>
        <w:rPr>
          <w:rFonts w:hint="eastAsia"/>
        </w:rPr>
      </w:pPr>
      <w:r>
        <w:rPr>
          <w:rFonts w:hint="eastAsia"/>
        </w:rPr>
        <w:t>支持超过120+的代理软件配置，其中包含clash、无界、Ghelper、Shadowrocket、ExpressVPN、Pigcha等，并支持报表模块统计</w:t>
      </w:r>
      <w:r>
        <w:rPr>
          <w:rFonts w:hint="eastAsia"/>
          <w:lang w:eastAsia="zh-CN"/>
        </w:rPr>
        <w:t>。</w:t>
      </w:r>
      <w:r>
        <w:rPr>
          <w:rFonts w:hint="eastAsia"/>
          <w:lang w:val="en-US" w:eastAsia="zh-CN"/>
        </w:rPr>
        <w:t>请提供功能截图。</w:t>
      </w:r>
    </w:p>
    <w:p w14:paraId="6CE5492A">
      <w:pPr>
        <w:numPr>
          <w:ilvl w:val="0"/>
          <w:numId w:val="1"/>
        </w:numPr>
        <w:rPr>
          <w:rFonts w:hint="eastAsia"/>
        </w:rPr>
      </w:pPr>
      <w:r>
        <w:rPr>
          <w:rFonts w:hint="eastAsia"/>
        </w:rPr>
        <w:t>★支持MySQL、PostgreSQL、Oracle、SQLServer等常用数据库操作和表名的审计。须提供第三方检测证明。</w:t>
      </w:r>
    </w:p>
    <w:p w14:paraId="397C0BE1">
      <w:pPr>
        <w:rPr>
          <w:rFonts w:hint="eastAsia"/>
        </w:rPr>
      </w:pPr>
      <w:r>
        <w:rPr>
          <w:rFonts w:hint="eastAsia"/>
          <w:lang w:val="en-US" w:eastAsia="zh-CN"/>
        </w:rPr>
        <w:t>10、★必须具备地理库功能，能有效的禁止境外IP对本地进行访问，提供配置截图证明。</w:t>
      </w:r>
    </w:p>
    <w:p w14:paraId="2B4CB3A4">
      <w:pPr>
        <w:numPr>
          <w:ilvl w:val="0"/>
          <w:numId w:val="1"/>
        </w:numPr>
        <w:rPr>
          <w:rFonts w:hint="eastAsia"/>
        </w:rPr>
      </w:pPr>
      <w:r>
        <w:rPr>
          <w:rFonts w:hint="eastAsia"/>
        </w:rPr>
        <w:t>★支持评估关联网络安全事件，形成攻击链分析报告，须提供第三方检测证明</w:t>
      </w:r>
      <w:r>
        <w:rPr>
          <w:rFonts w:hint="eastAsia"/>
          <w:lang w:eastAsia="zh-CN"/>
        </w:rPr>
        <w:t>。</w:t>
      </w:r>
    </w:p>
    <w:p w14:paraId="5A458852">
      <w:pPr>
        <w:numPr>
          <w:ilvl w:val="0"/>
          <w:numId w:val="1"/>
        </w:numPr>
        <w:rPr>
          <w:rFonts w:hint="eastAsia"/>
          <w:lang w:val="en-US" w:eastAsia="zh-CN"/>
        </w:rPr>
      </w:pPr>
      <w:r>
        <w:rPr>
          <w:rFonts w:hint="eastAsia"/>
        </w:rPr>
        <w:t>为了保证所投产品供应链安全的管理能力，</w:t>
      </w:r>
      <w:r>
        <w:rPr>
          <w:rFonts w:hint="eastAsia"/>
          <w:lang w:val="en-US" w:eastAsia="zh-CN"/>
        </w:rPr>
        <w:t>所投厂家</w:t>
      </w:r>
      <w:r>
        <w:rPr>
          <w:rFonts w:hint="eastAsia"/>
        </w:rPr>
        <w:t>需获得中国信息通信研究院颁发的《软件供应链安全能力成熟度参考模型》二级以上认证，提供有效证书复印件。</w:t>
      </w:r>
    </w:p>
    <w:p w14:paraId="014765FC">
      <w:pPr>
        <w:numPr>
          <w:ilvl w:val="0"/>
          <w:numId w:val="1"/>
        </w:numPr>
        <w:rPr>
          <w:rFonts w:hint="eastAsia"/>
          <w:lang w:val="en-US" w:eastAsia="zh-CN"/>
        </w:rPr>
      </w:pPr>
      <w:r>
        <w:rPr>
          <w:rFonts w:hint="eastAsia"/>
          <w:lang w:val="en-US" w:eastAsia="zh-CN"/>
        </w:rPr>
        <w:t>为了节约能源，所投产品厂家需具备能源管理体系认证证书 GB/T 23331-2020/ISO 50001:2018，</w:t>
      </w:r>
      <w:r>
        <w:rPr>
          <w:rFonts w:hint="eastAsia"/>
        </w:rPr>
        <w:t>提供有效证书复印件。</w:t>
      </w:r>
    </w:p>
    <w:p w14:paraId="356BD442">
      <w:pPr>
        <w:numPr>
          <w:ilvl w:val="0"/>
          <w:numId w:val="1"/>
        </w:numPr>
        <w:rPr>
          <w:rFonts w:hint="eastAsia"/>
          <w:lang w:val="en-US" w:eastAsia="zh-CN"/>
        </w:rPr>
      </w:pPr>
      <w:r>
        <w:rPr>
          <w:rFonts w:hint="eastAsia"/>
          <w:lang w:val="en-US" w:eastAsia="zh-CN"/>
        </w:rPr>
        <w:t>★提供不少于三年硬件质保，不少于三年应用特征库和URL分类特征库。</w:t>
      </w:r>
    </w:p>
    <w:p w14:paraId="3A622B7F">
      <w:pPr>
        <w:rPr>
          <w:rFonts w:hint="eastAsia"/>
          <w:lang w:val="en-US" w:eastAsia="zh-CN"/>
        </w:rPr>
      </w:pPr>
    </w:p>
    <w:p w14:paraId="432DF0C7">
      <w:pPr>
        <w:rPr>
          <w:rFonts w:hint="eastAsia"/>
        </w:rPr>
      </w:pPr>
      <w:r>
        <w:rPr>
          <w:rFonts w:hint="eastAsia"/>
          <w:lang w:val="en-US" w:eastAsia="zh-CN"/>
        </w:rPr>
        <w:t>需求中标记的</w:t>
      </w:r>
      <w:r>
        <w:rPr>
          <w:rFonts w:hint="eastAsia"/>
        </w:rPr>
        <w:t>★</w:t>
      </w:r>
      <w:r>
        <w:rPr>
          <w:rFonts w:hint="eastAsia"/>
          <w:lang w:val="en-US" w:eastAsia="zh-CN"/>
        </w:rPr>
        <w:t>参数为重要参数，中标人在正式签定合同后，需根据其投标响应和承诺情况到采购人指定地点进行现场系统功能演示，如出现中标人不能提供现场演示或投标响应与实际不符等严重影响采购人需求的，则上报监管部门依法依规处理。（投标人提供承诺函并加盖公章）</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8905A5"/>
    <w:multiLevelType w:val="singleLevel"/>
    <w:tmpl w:val="428905A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BE09B5"/>
    <w:rsid w:val="16831D55"/>
    <w:rsid w:val="30CE02C4"/>
    <w:rsid w:val="38D613A4"/>
    <w:rsid w:val="3ACA2793"/>
    <w:rsid w:val="3CD97C09"/>
    <w:rsid w:val="52C85914"/>
    <w:rsid w:val="5DCF5F38"/>
    <w:rsid w:val="5EF808F3"/>
    <w:rsid w:val="750767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1039</Words>
  <Characters>1175</Characters>
  <Lines>0</Lines>
  <Paragraphs>0</Paragraphs>
  <TotalTime>2</TotalTime>
  <ScaleCrop>false</ScaleCrop>
  <LinksUpToDate>false</LinksUpToDate>
  <CharactersWithSpaces>1181</CharactersWithSpaces>
  <Application>WPS Office_12.1.0.22525_F1E327BC-269C-435d-A152-05C5408002CA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2026-08-20T11:43:00Z</dcterms:created>
  <dc:creator>liuwe</dc:creator>
  <cp:lastModifiedBy>LOSER</cp:lastModifiedBy>
  <dcterms:modified xsi:type="dcterms:W3CDTF">2026-08-25T02:06:06Z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2052-12.1.0.22525</vt:lpwstr>
  </property>
  <property fmtid="{D5CDD505-2E9C-101B-9397-08002B2CF9AE}" pid="3" name="KSOTemplateDocerSaveRecord">
    <vt:lpwstr>eyJoZGlkIjoiMjI5MGVjZDEzN2U3YTI4YmE1OTRlOTcxMDRhY2IwYjkifQ==</vt:lpwstr>
  </property>
  <property fmtid="{D5CDD505-2E9C-101B-9397-08002B2CF9AE}" pid="4" name="ICV">
    <vt:lpwstr>3107E431BF414B62836E3C5910A6746F_13</vt:lpwstr>
  </property>
</Properties>
</file>